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B7" w:rsidRPr="00E518B3" w:rsidRDefault="001458B7" w:rsidP="001458B7">
      <w:pPr>
        <w:jc w:val="center"/>
        <w:rPr>
          <w:rFonts w:ascii="Times New Roman" w:hAnsi="Times New Roman" w:cs="Times New Roman"/>
          <w:b/>
        </w:rPr>
      </w:pPr>
      <w:r w:rsidRPr="00E518B3">
        <w:rPr>
          <w:rFonts w:ascii="Times New Roman" w:hAnsi="Times New Roman" w:cs="Times New Roman"/>
          <w:b/>
        </w:rPr>
        <w:t>ИНФОРМАЦИЯ ОБ УПРАВЛЯЮЩЕМ ТКБ ИНВЕСТМЕНТ ПАРТНЕРС (АО) И ВЗАИМОДЕЙСТВИИ С ПОЛУЧАТЕЛЯМИ ФИНАНСОВЫХ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1458B7" w:rsidRPr="00783DF6" w:rsidTr="001458B7">
        <w:trPr>
          <w:trHeight w:val="202"/>
        </w:trPr>
        <w:tc>
          <w:tcPr>
            <w:tcW w:w="10060" w:type="dxa"/>
            <w:gridSpan w:val="2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3DF6">
              <w:rPr>
                <w:rFonts w:ascii="Times New Roman" w:hAnsi="Times New Roman" w:cs="Times New Roman"/>
                <w:b/>
              </w:rPr>
              <w:t>Информация об Управляющем</w:t>
            </w:r>
          </w:p>
        </w:tc>
      </w:tr>
      <w:tr w:rsidR="001458B7" w:rsidRPr="00783DF6" w:rsidTr="001458B7">
        <w:trPr>
          <w:trHeight w:val="349"/>
        </w:trPr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bookmarkStart w:id="0" w:name="_Toc70427355"/>
            <w:r w:rsidRPr="00783DF6">
              <w:rPr>
                <w:rFonts w:ascii="Times New Roman" w:hAnsi="Times New Roman" w:cs="Times New Roman"/>
              </w:rPr>
              <w:t>Полное фирменное наименование</w:t>
            </w:r>
            <w:bookmarkEnd w:id="0"/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ТКБ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(Акционерное общество)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Сокращенное фирменное наименование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ТКБ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(АО)</w:t>
            </w:r>
          </w:p>
        </w:tc>
      </w:tr>
      <w:tr w:rsidR="001458B7" w:rsidRPr="003E00C3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Полное фирменное наименование на английском языке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DF6">
              <w:rPr>
                <w:rFonts w:ascii="Times New Roman" w:hAnsi="Times New Roman" w:cs="Times New Roman"/>
                <w:lang w:val="en-US"/>
              </w:rPr>
              <w:t>TKB Investment Partners (Joint-stock company)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Сокращенное фирменное наименование на английском языке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TKB Investment Partners (JSC)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 местонахождения/ Адрес офиса Управляющего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191119, Российская Федерация, г. Санкт-Петербург, ул. Марата, д</w:t>
            </w:r>
            <w:r>
              <w:rPr>
                <w:rFonts w:ascii="Times New Roman" w:hAnsi="Times New Roman" w:cs="Times New Roman"/>
              </w:rPr>
              <w:t>.</w:t>
            </w:r>
            <w:r w:rsidRPr="00783DF6">
              <w:rPr>
                <w:rFonts w:ascii="Times New Roman" w:hAnsi="Times New Roman" w:cs="Times New Roman"/>
              </w:rPr>
              <w:t>69-71, лит. А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(прием получателей финансовых услуг осуществляется по рабочим дням с 10.00 до 18.00)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Адрес Представительства ТКБ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Инвестмент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Партнерс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(АО) в г. Москве</w:t>
            </w:r>
            <w:r w:rsidRPr="00783DF6" w:rsidDel="000306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3E00C3" w:rsidRPr="003E00C3" w:rsidRDefault="003E00C3" w:rsidP="00771ACC">
            <w:pPr>
              <w:jc w:val="both"/>
              <w:rPr>
                <w:rFonts w:ascii="Times New Roman" w:hAnsi="Times New Roman" w:cs="Times New Roman"/>
              </w:rPr>
            </w:pPr>
            <w:r w:rsidRPr="003E00C3">
              <w:rPr>
                <w:rFonts w:ascii="Times New Roman" w:hAnsi="Times New Roman" w:cs="Times New Roman"/>
                <w:shd w:val="clear" w:color="auto" w:fill="FFFFFF"/>
              </w:rPr>
              <w:t xml:space="preserve">117556, Российская Федерация, г. Москва, </w:t>
            </w:r>
            <w:proofErr w:type="spellStart"/>
            <w:r w:rsidRPr="003E00C3">
              <w:rPr>
                <w:rFonts w:ascii="Times New Roman" w:hAnsi="Times New Roman" w:cs="Times New Roman"/>
                <w:shd w:val="clear" w:color="auto" w:fill="FFFFFF"/>
              </w:rPr>
              <w:t>вн.тер.г</w:t>
            </w:r>
            <w:proofErr w:type="spellEnd"/>
            <w:r w:rsidRPr="003E00C3">
              <w:rPr>
                <w:rFonts w:ascii="Times New Roman" w:hAnsi="Times New Roman" w:cs="Times New Roman"/>
                <w:shd w:val="clear" w:color="auto" w:fill="FFFFFF"/>
              </w:rPr>
              <w:t>. муниципальный округ Чертаново Северное, Варшавское шоссе, д. 95, корп. 1, комната 98</w:t>
            </w:r>
            <w:r w:rsidRPr="003E00C3">
              <w:rPr>
                <w:rFonts w:ascii="Times New Roman" w:hAnsi="Times New Roman" w:cs="Times New Roman"/>
              </w:rPr>
              <w:t xml:space="preserve"> 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(прием получателей финансовых услуг осуществляется по рабочим дням с 10.00 до 18.00)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(не предоставляются услуги, связанные с приобретением, обменом и погашением инвестиционных паев паевых инвестиционных фондов)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191119, Российская Федерация, г. Санкт-Петербург, ул. Марата, д</w:t>
            </w:r>
            <w:r>
              <w:rPr>
                <w:rFonts w:ascii="Times New Roman" w:hAnsi="Times New Roman" w:cs="Times New Roman"/>
              </w:rPr>
              <w:t>.</w:t>
            </w:r>
            <w:r w:rsidRPr="00783DF6">
              <w:rPr>
                <w:rFonts w:ascii="Times New Roman" w:hAnsi="Times New Roman" w:cs="Times New Roman"/>
              </w:rPr>
              <w:t xml:space="preserve"> 69-71, лит. А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8(812) 332-7-332, 8(800) 700-0708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Электронная почта </w:t>
            </w:r>
          </w:p>
        </w:tc>
        <w:tc>
          <w:tcPr>
            <w:tcW w:w="6237" w:type="dxa"/>
            <w:vAlign w:val="center"/>
          </w:tcPr>
          <w:p w:rsidR="001458B7" w:rsidRPr="00783DF6" w:rsidRDefault="00FD4EF8" w:rsidP="00771ACC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1458B7" w:rsidRPr="00783DF6">
                <w:rPr>
                  <w:rStyle w:val="a8"/>
                  <w:rFonts w:ascii="Times New Roman" w:hAnsi="Times New Roman" w:cs="Times New Roman"/>
                  <w:lang w:val="en-US"/>
                </w:rPr>
                <w:t>info@tkbip.ru</w:t>
              </w:r>
            </w:hyperlink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 официального сайта в сети «Интернет»</w:t>
            </w:r>
          </w:p>
        </w:tc>
        <w:tc>
          <w:tcPr>
            <w:tcW w:w="6237" w:type="dxa"/>
            <w:vAlign w:val="center"/>
          </w:tcPr>
          <w:p w:rsidR="001458B7" w:rsidRPr="00783DF6" w:rsidRDefault="00FD4EF8" w:rsidP="00771ACC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1458B7" w:rsidRPr="00783DF6">
                <w:rPr>
                  <w:rStyle w:val="a8"/>
                  <w:rFonts w:ascii="Times New Roman" w:hAnsi="Times New Roman" w:cs="Times New Roman"/>
                </w:rPr>
                <w:t>http://www.tkbip.ru</w:t>
              </w:r>
            </w:hyperlink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Лицензия профессионального участника рынка ценных бумаг на осуществление деятельности по управлению ценными бумагами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выдана ФСФР России 11 апреля 2006 г.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за № 040-09042-001000,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срок действия Лицензии — без ограничения срока действия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783DF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выдана ФКЦБ России 17 июня 2002 г. 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783DF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за № 21-000-1-00069, 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срок действия Лицензии — без ограничения срока действия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Орган, выдавший Лицензию на осуществление деятельности по управлению ценными бумагами, </w:t>
            </w:r>
            <w:r w:rsidRPr="00783DF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ФСФР России, ФКЦБ России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С 1 сентября 2013 года Банку России переданы полномочия ФСФР по регулированию, контролю и надзору в сфере финансовых рынков (в соответствии с Федеральным законом от 23 июля 2013 года № 251–ФЗ)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lastRenderedPageBreak/>
              <w:t>Информация о финансовых услугах, оказываемых Управляющим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Управляющий оказывает широкий спектр услуг по консультированию, доверительному управлению активами российских и иностранных инвесторов, по управлению паевыми инвестиционными фондами и негосударственными пенсионными фондами. Более подробно ознакомиться с перечнем услуг Управляющего, порядком получения финансовых услуг, в том числе с документами, которые должны быть предоставлены для получения такой услуги, можно в офисах Управляющего либо на сайте Управляющего по ссылке: </w:t>
            </w:r>
            <w:hyperlink r:id="rId7" w:history="1">
              <w:r w:rsidRPr="00783DF6">
                <w:rPr>
                  <w:rStyle w:val="a8"/>
                  <w:rFonts w:ascii="Times New Roman" w:hAnsi="Times New Roman" w:cs="Times New Roman"/>
                </w:rPr>
                <w:t>https://tkbip.ru/products/</w:t>
              </w:r>
            </w:hyperlink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Орган, осуществляющий полномочия по контролю и надзору за деятельностью Управляющего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Банк России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107016, Российская Федерация, г. Москва, ул.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783DF6">
              <w:rPr>
                <w:rFonts w:ascii="Times New Roman" w:hAnsi="Times New Roman" w:cs="Times New Roman"/>
              </w:rPr>
              <w:t>, д.12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Тел. 8 (499) 300-30-00</w:t>
            </w:r>
          </w:p>
        </w:tc>
      </w:tr>
      <w:tr w:rsidR="001458B7" w:rsidRPr="00783DF6" w:rsidTr="001458B7">
        <w:tc>
          <w:tcPr>
            <w:tcW w:w="10060" w:type="dxa"/>
            <w:gridSpan w:val="2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3DF6">
              <w:rPr>
                <w:rFonts w:ascii="Times New Roman" w:hAnsi="Times New Roman" w:cs="Times New Roman"/>
                <w:b/>
              </w:rPr>
              <w:t>Информация о саморегулируемой организации в сфере финансового рынка, объединяющей управляющих (далее –СРО), членом которой является Управляющий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Национальная ассоциация участников фондового рынка (НАУФОР)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 сайта в сети «Интернет»</w:t>
            </w:r>
          </w:p>
        </w:tc>
        <w:tc>
          <w:tcPr>
            <w:tcW w:w="6237" w:type="dxa"/>
            <w:vAlign w:val="center"/>
          </w:tcPr>
          <w:p w:rsidR="001458B7" w:rsidRPr="00783DF6" w:rsidRDefault="00FD4EF8" w:rsidP="00771ACC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458B7" w:rsidRPr="00783DF6">
                <w:rPr>
                  <w:rStyle w:val="a8"/>
                  <w:rFonts w:ascii="Times New Roman" w:hAnsi="Times New Roman" w:cs="Times New Roman"/>
                </w:rPr>
                <w:t>https://naufor.ru/</w:t>
              </w:r>
            </w:hyperlink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 страницы официального сайта СРО, на которой размещены стандарты по защите прав и интересов получателей финансовых услуг</w:t>
            </w:r>
          </w:p>
        </w:tc>
        <w:tc>
          <w:tcPr>
            <w:tcW w:w="6237" w:type="dxa"/>
            <w:vAlign w:val="center"/>
          </w:tcPr>
          <w:p w:rsidR="001458B7" w:rsidRPr="00783DF6" w:rsidRDefault="00FD4EF8" w:rsidP="00771ACC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1458B7" w:rsidRPr="00783DF6">
                <w:rPr>
                  <w:rStyle w:val="a8"/>
                  <w:rFonts w:ascii="Times New Roman" w:hAnsi="Times New Roman" w:cs="Times New Roman"/>
                </w:rPr>
                <w:t>https://naufor.ru/</w:t>
              </w:r>
            </w:hyperlink>
          </w:p>
        </w:tc>
      </w:tr>
      <w:tr w:rsidR="001458B7" w:rsidRPr="00783DF6" w:rsidTr="001458B7">
        <w:tc>
          <w:tcPr>
            <w:tcW w:w="10060" w:type="dxa"/>
            <w:gridSpan w:val="2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3DF6">
              <w:rPr>
                <w:rFonts w:ascii="Times New Roman" w:hAnsi="Times New Roman" w:cs="Times New Roman"/>
                <w:b/>
              </w:rPr>
              <w:t>Информация о способах и адресах направления обращений (жалоб)</w:t>
            </w:r>
          </w:p>
        </w:tc>
      </w:tr>
      <w:tr w:rsidR="001458B7" w:rsidRPr="00783DF6" w:rsidTr="001458B7">
        <w:trPr>
          <w:trHeight w:val="1015"/>
        </w:trPr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 для направления обращений (жалоб) Управляющему посредством почтовой связи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191119, Российская Федерация, г. Санкт-Петербург, ул.</w:t>
            </w:r>
            <w:r w:rsidRPr="00E518B3">
              <w:rPr>
                <w:rFonts w:ascii="Times New Roman" w:hAnsi="Times New Roman" w:cs="Times New Roman"/>
              </w:rPr>
              <w:t xml:space="preserve">  </w:t>
            </w:r>
            <w:r w:rsidRPr="00783DF6">
              <w:rPr>
                <w:rFonts w:ascii="Times New Roman" w:hAnsi="Times New Roman" w:cs="Times New Roman"/>
              </w:rPr>
              <w:t>Марата, д</w:t>
            </w:r>
            <w:r>
              <w:rPr>
                <w:rFonts w:ascii="Times New Roman" w:hAnsi="Times New Roman" w:cs="Times New Roman"/>
              </w:rPr>
              <w:t>.</w:t>
            </w:r>
            <w:r w:rsidRPr="00783DF6">
              <w:rPr>
                <w:rFonts w:ascii="Times New Roman" w:hAnsi="Times New Roman" w:cs="Times New Roman"/>
              </w:rPr>
              <w:t>69–71, лит. А.</w:t>
            </w:r>
          </w:p>
        </w:tc>
      </w:tr>
      <w:tr w:rsidR="001458B7" w:rsidRPr="00783DF6" w:rsidTr="001458B7">
        <w:tc>
          <w:tcPr>
            <w:tcW w:w="3823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Адреса для подачи обращений (жалоб) Управляющему лично</w:t>
            </w:r>
          </w:p>
        </w:tc>
        <w:tc>
          <w:tcPr>
            <w:tcW w:w="6237" w:type="dxa"/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1. 191119, Российская Федерация, г. Санкт–Петербург, ул.</w:t>
            </w:r>
            <w:r w:rsidRPr="00E518B3">
              <w:rPr>
                <w:rFonts w:ascii="Times New Roman" w:hAnsi="Times New Roman" w:cs="Times New Roman"/>
              </w:rPr>
              <w:t xml:space="preserve">  </w:t>
            </w:r>
            <w:r w:rsidRPr="00783DF6">
              <w:rPr>
                <w:rFonts w:ascii="Times New Roman" w:hAnsi="Times New Roman" w:cs="Times New Roman"/>
              </w:rPr>
              <w:t>Марата, д</w:t>
            </w:r>
            <w:r>
              <w:rPr>
                <w:rFonts w:ascii="Times New Roman" w:hAnsi="Times New Roman" w:cs="Times New Roman"/>
              </w:rPr>
              <w:t>.</w:t>
            </w:r>
            <w:r w:rsidRPr="00783DF6">
              <w:rPr>
                <w:rFonts w:ascii="Times New Roman" w:hAnsi="Times New Roman" w:cs="Times New Roman"/>
              </w:rPr>
              <w:t xml:space="preserve"> 69–71, лит. А;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2. </w:t>
            </w:r>
            <w:r w:rsidR="003E00C3" w:rsidRPr="003E00C3">
              <w:rPr>
                <w:rFonts w:ascii="Times New Roman" w:hAnsi="Times New Roman" w:cs="Times New Roman"/>
                <w:shd w:val="clear" w:color="auto" w:fill="FFFFFF"/>
              </w:rPr>
              <w:t xml:space="preserve">117556, Российская Федерация, г. Москва, </w:t>
            </w:r>
            <w:proofErr w:type="spellStart"/>
            <w:r w:rsidR="003E00C3" w:rsidRPr="003E00C3">
              <w:rPr>
                <w:rFonts w:ascii="Times New Roman" w:hAnsi="Times New Roman" w:cs="Times New Roman"/>
                <w:shd w:val="clear" w:color="auto" w:fill="FFFFFF"/>
              </w:rPr>
              <w:t>вн.тер.г</w:t>
            </w:r>
            <w:proofErr w:type="spellEnd"/>
            <w:r w:rsidR="003E00C3" w:rsidRPr="003E00C3">
              <w:rPr>
                <w:rFonts w:ascii="Times New Roman" w:hAnsi="Times New Roman" w:cs="Times New Roman"/>
                <w:shd w:val="clear" w:color="auto" w:fill="FFFFFF"/>
              </w:rPr>
              <w:t>. муниципальный округ Чертаново Северное, Варшавское шоссе, д. 95, корп. 1, комната 98</w:t>
            </w:r>
            <w:r w:rsidR="003E00C3" w:rsidRPr="003E00C3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3. Путем личного обращения в офис(-ы) Поверенного управляющего (Агента), в котором была предоставлена финансовая услуга;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4. В электронном виде, направленные через форму обратной связи на сайте Общества, на электронный ящик </w:t>
            </w:r>
            <w:hyperlink r:id="rId10" w:history="1">
              <w:r w:rsidRPr="00783DF6">
                <w:rPr>
                  <w:rStyle w:val="a8"/>
                  <w:rFonts w:ascii="Times New Roman" w:hAnsi="Times New Roman" w:cs="Times New Roman"/>
                </w:rPr>
                <w:t>info@tkbip.ru</w:t>
              </w:r>
            </w:hyperlink>
            <w:r w:rsidRPr="00783DF6">
              <w:rPr>
                <w:rFonts w:ascii="Times New Roman" w:hAnsi="Times New Roman" w:cs="Times New Roman"/>
              </w:rPr>
              <w:t>;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5. В электронном виде, направленные через личный кабинет Клиента;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6. В электронном виде, направленные на электронный ящик info@tkbip.ru.</w:t>
            </w:r>
          </w:p>
        </w:tc>
      </w:tr>
      <w:tr w:rsidR="001458B7" w:rsidRPr="00783DF6" w:rsidTr="00145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Контактные данные для направления обращений (жалоб) в СРО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Посредством заполнения формы на официальном сайте СРО в сети «Интернет» по адресу: </w:t>
            </w:r>
            <w:hyperlink r:id="rId11" w:history="1">
              <w:r w:rsidRPr="00783DF6">
                <w:rPr>
                  <w:rStyle w:val="a8"/>
                  <w:rFonts w:ascii="Times New Roman" w:hAnsi="Times New Roman" w:cs="Times New Roman"/>
                </w:rPr>
                <w:t>https://naufor.ru/</w:t>
              </w:r>
            </w:hyperlink>
            <w:r w:rsidRPr="00783DF6">
              <w:rPr>
                <w:rFonts w:ascii="Times New Roman" w:hAnsi="Times New Roman" w:cs="Times New Roman"/>
              </w:rPr>
              <w:t>;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Официальным письмом по адресу:</w:t>
            </w:r>
            <w:r w:rsidRPr="00783D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83DF6">
              <w:rPr>
                <w:rFonts w:ascii="Times New Roman" w:hAnsi="Times New Roman" w:cs="Times New Roman"/>
              </w:rPr>
              <w:t xml:space="preserve">129090, Российская Федерация, г. Москва, 1-й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Коптельский</w:t>
            </w:r>
            <w:proofErr w:type="spellEnd"/>
            <w:r w:rsidRPr="00783DF6">
              <w:rPr>
                <w:rFonts w:ascii="Times New Roman" w:hAnsi="Times New Roman" w:cs="Times New Roman"/>
              </w:rPr>
              <w:t xml:space="preserve"> пер., д. 18, стр.1</w:t>
            </w:r>
          </w:p>
        </w:tc>
      </w:tr>
      <w:tr w:rsidR="001458B7" w:rsidRPr="00783DF6" w:rsidTr="00145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>Контактные данные для направления обращений (жалоб) в Банк России: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Посредством заполнения формы на официальном сайте Банка России в сети «Интернет» по адресу: </w:t>
            </w:r>
            <w:hyperlink r:id="rId12" w:history="1">
              <w:r w:rsidRPr="00783DF6">
                <w:rPr>
                  <w:rStyle w:val="a8"/>
                  <w:rFonts w:ascii="Times New Roman" w:hAnsi="Times New Roman" w:cs="Times New Roman"/>
                </w:rPr>
                <w:t xml:space="preserve"> https://www.cbr.ru/Reception/ </w:t>
              </w:r>
            </w:hyperlink>
            <w:r w:rsidRPr="00783DF6">
              <w:rPr>
                <w:rFonts w:ascii="Times New Roman" w:hAnsi="Times New Roman" w:cs="Times New Roman"/>
              </w:rPr>
              <w:t xml:space="preserve">. </w:t>
            </w:r>
          </w:p>
          <w:p w:rsidR="001458B7" w:rsidRPr="00783DF6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783DF6">
              <w:rPr>
                <w:rFonts w:ascii="Times New Roman" w:hAnsi="Times New Roman" w:cs="Times New Roman"/>
              </w:rPr>
              <w:t xml:space="preserve">Официальным письмом по адресу: 107016, Российская Федерация, г. Москва, ул. </w:t>
            </w:r>
            <w:proofErr w:type="spellStart"/>
            <w:r w:rsidRPr="00783DF6">
              <w:rPr>
                <w:rFonts w:ascii="Times New Roman" w:hAnsi="Times New Roman" w:cs="Times New Roman"/>
              </w:rPr>
              <w:t>Неглинная</w:t>
            </w:r>
            <w:proofErr w:type="spellEnd"/>
            <w:r w:rsidRPr="00783DF6">
              <w:rPr>
                <w:rFonts w:ascii="Times New Roman" w:hAnsi="Times New Roman" w:cs="Times New Roman"/>
              </w:rPr>
              <w:t>, д. 12,.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46"/>
        <w:gridCol w:w="6314"/>
      </w:tblGrid>
      <w:tr w:rsidR="001458B7" w:rsidRPr="00E518B3" w:rsidTr="001458B7">
        <w:trPr>
          <w:trHeight w:val="253"/>
        </w:trPr>
        <w:tc>
          <w:tcPr>
            <w:tcW w:w="10060" w:type="dxa"/>
            <w:gridSpan w:val="2"/>
          </w:tcPr>
          <w:p w:rsidR="001458B7" w:rsidRPr="00E518B3" w:rsidRDefault="001458B7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Порядок получения финансовой услуги</w:t>
            </w:r>
          </w:p>
        </w:tc>
      </w:tr>
      <w:tr w:rsidR="001458B7" w:rsidRPr="00E518B3" w:rsidTr="001458B7">
        <w:tc>
          <w:tcPr>
            <w:tcW w:w="3746" w:type="dxa"/>
          </w:tcPr>
          <w:p w:rsidR="001458B7" w:rsidRPr="00E518B3" w:rsidRDefault="001458B7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Документы, которые должны быть предоставлены Управляющему получателем финансовых услуг: </w:t>
            </w:r>
          </w:p>
          <w:p w:rsidR="001458B7" w:rsidRPr="00E518B3" w:rsidRDefault="001458B7" w:rsidP="00771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4" w:type="dxa"/>
          </w:tcPr>
          <w:p w:rsidR="001458B7" w:rsidRDefault="001458B7" w:rsidP="001458B7">
            <w:pPr>
              <w:pStyle w:val="a3"/>
              <w:numPr>
                <w:ilvl w:val="0"/>
                <w:numId w:val="1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09CF">
              <w:rPr>
                <w:rFonts w:ascii="Times New Roman" w:hAnsi="Times New Roman" w:cs="Times New Roman"/>
              </w:rPr>
              <w:t>Анкеты по форме Управляющего, разработанные в целях идентификации по ПОД/ФТ/ФРОМУ;</w:t>
            </w:r>
          </w:p>
          <w:p w:rsidR="001458B7" w:rsidRDefault="001458B7" w:rsidP="001458B7">
            <w:pPr>
              <w:pStyle w:val="a3"/>
              <w:numPr>
                <w:ilvl w:val="0"/>
                <w:numId w:val="1"/>
              </w:numPr>
              <w:tabs>
                <w:tab w:val="left" w:pos="255"/>
                <w:tab w:val="left" w:pos="397"/>
                <w:tab w:val="left" w:pos="82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09CF">
              <w:rPr>
                <w:rFonts w:ascii="Times New Roman" w:hAnsi="Times New Roman" w:cs="Times New Roman"/>
              </w:rPr>
              <w:t>Документы, подтверждающие сведения, указанные в Анкетах;</w:t>
            </w:r>
          </w:p>
          <w:p w:rsidR="001458B7" w:rsidRDefault="001458B7" w:rsidP="001458B7">
            <w:pPr>
              <w:pStyle w:val="a3"/>
              <w:numPr>
                <w:ilvl w:val="0"/>
                <w:numId w:val="1"/>
              </w:numPr>
              <w:tabs>
                <w:tab w:val="left" w:pos="255"/>
                <w:tab w:val="left" w:pos="397"/>
                <w:tab w:val="left" w:pos="82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09CF">
              <w:rPr>
                <w:rFonts w:ascii="Times New Roman" w:hAnsi="Times New Roman" w:cs="Times New Roman"/>
              </w:rPr>
              <w:t>Информация и документы для определения инвестиционного профиля клиента, если требуется определять инвестиционный профиль;</w:t>
            </w:r>
          </w:p>
          <w:p w:rsidR="001458B7" w:rsidRDefault="001458B7" w:rsidP="001458B7">
            <w:pPr>
              <w:pStyle w:val="a3"/>
              <w:numPr>
                <w:ilvl w:val="0"/>
                <w:numId w:val="1"/>
              </w:numPr>
              <w:tabs>
                <w:tab w:val="left" w:pos="255"/>
                <w:tab w:val="left" w:pos="397"/>
                <w:tab w:val="left" w:pos="82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B09CF">
              <w:rPr>
                <w:rFonts w:ascii="Times New Roman" w:hAnsi="Times New Roman" w:cs="Times New Roman"/>
              </w:rPr>
              <w:t>Информация и документы для признания получателя финансовой услуги квалифицированным инвестором, в случае, если финансовая услуга предназначена д</w:t>
            </w:r>
            <w:r>
              <w:rPr>
                <w:rFonts w:ascii="Times New Roman" w:hAnsi="Times New Roman" w:cs="Times New Roman"/>
              </w:rPr>
              <w:t>ля квалифицированных инвесторов;</w:t>
            </w:r>
          </w:p>
          <w:p w:rsidR="001458B7" w:rsidRPr="00E518B3" w:rsidRDefault="001458B7" w:rsidP="001458B7">
            <w:pPr>
              <w:pStyle w:val="a3"/>
              <w:numPr>
                <w:ilvl w:val="0"/>
                <w:numId w:val="1"/>
              </w:numPr>
              <w:tabs>
                <w:tab w:val="left" w:pos="255"/>
                <w:tab w:val="left" w:pos="397"/>
                <w:tab w:val="left" w:pos="82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Информация и документы, необходимые для приобретения инвестиционных паев ПИФ под управлением Общества.</w:t>
            </w:r>
          </w:p>
        </w:tc>
      </w:tr>
      <w:tr w:rsidR="001458B7" w:rsidRPr="00E518B3" w:rsidTr="001458B7">
        <w:tc>
          <w:tcPr>
            <w:tcW w:w="3746" w:type="dxa"/>
          </w:tcPr>
          <w:p w:rsidR="001458B7" w:rsidRPr="00E518B3" w:rsidRDefault="001458B7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Порядок получения финансовой услуги:</w:t>
            </w:r>
          </w:p>
        </w:tc>
        <w:tc>
          <w:tcPr>
            <w:tcW w:w="6314" w:type="dxa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Порядок получения финансовой услуги устанавливается Договором на оказание соответствующей услуги. До заключения Договора получатель финансовой услуги обязан ознакомиться с условиями Договора и со всеми приложениями, являющимися неотъемлемой частью Договора. Совершение любых действий получателем финансовой услуги, направленных на заключение Договора, означает осведомленность получателя финансовой услуги обо всех условиях Договора, а также полное и безоговорочное согласие со всеми условиями Договора и всеми документами Управляющего, ссылки на которые содержатся в Договоре.</w:t>
            </w:r>
          </w:p>
        </w:tc>
      </w:tr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 способах защиты прав получателя финансовых услуг, а также о способах досудебного и внесудебного урегулирования спора, в том числе о претензионном порядке урегулирования спора</w:t>
            </w:r>
          </w:p>
        </w:tc>
      </w:tr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В случае возникновения спора, связанного с заключением, исполнением либо прекращением договора доверительного управления, получатель финансовых услуг обязан незамедлительно направить в адрес Управляющего претензию в письменной форме. Ответ на претензию должен быть направлен Управляющим получателю финансовых услуг в письменной форме в сроки, установленные договором доверительного управления, а если срок не установлен, то не позднее 15 (пятнадцати) рабочих дней со дня её получения. В случае если спор между получателем финансовых услуг и Управляющим остается неурегулированным в результате исполнения обязательного претензионного порядка, он подлежит рассмотрению в суде по месту нахождения Управляющего. Договор доверительного управления может содержать дополнительные условия претензионного порядка урегулирования спора.</w:t>
            </w:r>
          </w:p>
        </w:tc>
      </w:tr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 xml:space="preserve">Общая информация о конфликте интересов </w:t>
            </w:r>
          </w:p>
        </w:tc>
      </w:tr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18B3">
              <w:rPr>
                <w:rFonts w:ascii="Times New Roman" w:hAnsi="Times New Roman" w:cs="Times New Roman"/>
                <w:sz w:val="22"/>
                <w:szCs w:val="22"/>
              </w:rPr>
              <w:t>Управляющий принимает все разумные меры по выявлению конфликта интересов, который может возникнуть у этого профессионального участника рынка ценных бумаг, членов его органов управления, работников, лиц, действующих за его счет, отдельных его клиентов, контролирующих и подконтрольных лиц и его клиентов, управлению конфликтом интересов и предотвращению его реализации.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Информация о конфликте интересов размещена на сайте Управляющего по следующим видом деятельности: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– деятельность по доверительному управлению ценными бумагами – </w:t>
            </w:r>
            <w:hyperlink r:id="rId13" w:history="1">
              <w:r w:rsidRPr="00E518B3">
                <w:rPr>
                  <w:rStyle w:val="a8"/>
                  <w:rFonts w:ascii="Times New Roman" w:hAnsi="Times New Roman" w:cs="Times New Roman"/>
                </w:rPr>
                <w:t>https://tkbip.ru/disclosure–of–information/documents–on–management–of–securities/</w:t>
              </w:r>
            </w:hyperlink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 xml:space="preserve">– деятельность по управлению инвестиционными фондами, паевыми инвестиционными фондами и негосударственными пенсионными фондами – </w:t>
            </w:r>
            <w:hyperlink r:id="rId14" w:history="1">
              <w:r w:rsidRPr="00E518B3">
                <w:rPr>
                  <w:rStyle w:val="a8"/>
                  <w:rFonts w:ascii="Times New Roman" w:hAnsi="Times New Roman" w:cs="Times New Roman"/>
                </w:rPr>
                <w:t>https://tkbip.ru/disclosure–of–information/conflict–of–interest–information/</w:t>
              </w:r>
            </w:hyperlink>
            <w:r w:rsidRPr="00E518B3">
              <w:rPr>
                <w:rFonts w:ascii="Times New Roman" w:hAnsi="Times New Roman" w:cs="Times New Roman"/>
              </w:rPr>
              <w:t xml:space="preserve"> 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458B7" w:rsidRDefault="001458B7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46"/>
        <w:gridCol w:w="6314"/>
      </w:tblGrid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rPr>
                <w:rFonts w:ascii="Times New Roman" w:hAnsi="Times New Roman" w:cs="Times New Roman"/>
                <w:b/>
              </w:rPr>
            </w:pPr>
            <w:r w:rsidRPr="00E518B3">
              <w:rPr>
                <w:rFonts w:ascii="Times New Roman" w:hAnsi="Times New Roman" w:cs="Times New Roman"/>
                <w:b/>
              </w:rPr>
              <w:t>Информация о способах и порядке изменения условий Договора доверительного управления</w:t>
            </w:r>
          </w:p>
          <w:p w:rsidR="001458B7" w:rsidRPr="00E518B3" w:rsidRDefault="001458B7" w:rsidP="00771ACC">
            <w:pPr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  <w:b/>
              </w:rPr>
              <w:t>(если иное не установлено Договором доверительного управления)</w:t>
            </w:r>
          </w:p>
        </w:tc>
      </w:tr>
      <w:tr w:rsidR="001458B7" w:rsidRPr="00E518B3" w:rsidTr="001458B7">
        <w:tc>
          <w:tcPr>
            <w:tcW w:w="3746" w:type="dxa"/>
            <w:vAlign w:val="center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Для Договора доверительного управления в форме присоединения к Стандартной стратегии управления</w:t>
            </w:r>
          </w:p>
        </w:tc>
        <w:tc>
          <w:tcPr>
            <w:tcW w:w="6314" w:type="dxa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Получатель финансовой услуги не имеет права вносить и/или инициировать внесение любых изменений в Договор доверительного управления.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В случае изменения Договора доверительного управления и/или внутреннего документа Управляющего по инициативе Управляющего, такие изменения становятся обязательными для сторон Договора доверительного управления на 5 (пятый) рабочий день с даты размещения Управляющим новой редакции на официальном сайте Управляющего в сети «Интернет», если иной порядок не установлен законодательством или Договором доверительного управления.</w:t>
            </w:r>
          </w:p>
        </w:tc>
      </w:tr>
      <w:tr w:rsidR="001458B7" w:rsidRPr="00E518B3" w:rsidTr="001458B7">
        <w:tc>
          <w:tcPr>
            <w:tcW w:w="3746" w:type="dxa"/>
            <w:vAlign w:val="center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Для индивидуального Договора доверительного управления</w:t>
            </w:r>
          </w:p>
        </w:tc>
        <w:tc>
          <w:tcPr>
            <w:tcW w:w="6314" w:type="dxa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Любые изменения в Договор доверительного управления вносятся путем подписания дополнительных соглашений к заключенному Договору доверительного управления.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Управляющий имеет безусловное право вносить изменения во внутренние документы Управляющего. Такие изменения становятся обязательными для сторон Договора доверительного управления на 5 (пятый) рабочий день с даты размещения Управляющим новой редакции документа на официальном сайте Управляющего в сети «Интернет», если иной порядок не установлен законодательством или Договором доверительного управления.</w:t>
            </w:r>
          </w:p>
        </w:tc>
      </w:tr>
      <w:tr w:rsidR="001458B7" w:rsidRPr="00E518B3" w:rsidTr="001458B7">
        <w:tc>
          <w:tcPr>
            <w:tcW w:w="3746" w:type="dxa"/>
            <w:vAlign w:val="center"/>
          </w:tcPr>
          <w:p w:rsidR="001458B7" w:rsidRPr="00E518B3" w:rsidRDefault="001458B7" w:rsidP="00771ACC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518B3">
              <w:rPr>
                <w:rFonts w:ascii="Times New Roman" w:hAnsi="Times New Roman" w:cs="Times New Roman"/>
              </w:rPr>
              <w:t>Для договора доверительного управления паевым инвестиционным фондом, заключаемого путем присоединения, т.е. приобретения инвестиционных паев паевого инвестиционного фонда, выдаваемых управляющей компанией – Обществом, осуществляющим доверительное управление этим паевым инвестиционным фондом</w:t>
            </w:r>
          </w:p>
        </w:tc>
        <w:tc>
          <w:tcPr>
            <w:tcW w:w="6314" w:type="dxa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Получатель финансовой услуги не имеет права вносить и/или инициировать внесение любых изменений в Договор доверительного управления (Правила доверительного управления паевым инвестиционным фондом, далее – Правила).</w:t>
            </w:r>
          </w:p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518B3">
              <w:rPr>
                <w:rFonts w:ascii="Times New Roman" w:hAnsi="Times New Roman" w:cs="Times New Roman"/>
              </w:rPr>
              <w:t>В случае изменения Правил и/или внутреннего документа Управляющего по инициативе Управляющего, такие изменения становятся обязательными для сторон в сроки, определенные ст. 20 Федерального закона от 29.11.2001 № 156</w:t>
            </w:r>
            <w:r>
              <w:rPr>
                <w:rFonts w:ascii="Times New Roman" w:hAnsi="Times New Roman" w:cs="Times New Roman"/>
              </w:rPr>
              <w:t>-</w:t>
            </w:r>
            <w:r w:rsidRPr="00E518B3">
              <w:rPr>
                <w:rFonts w:ascii="Times New Roman" w:hAnsi="Times New Roman" w:cs="Times New Roman"/>
              </w:rPr>
              <w:t>ФЗ «Об инвестиционных фондах».</w:t>
            </w:r>
          </w:p>
        </w:tc>
      </w:tr>
      <w:tr w:rsidR="001458B7" w:rsidRPr="00E518B3" w:rsidTr="001458B7">
        <w:tc>
          <w:tcPr>
            <w:tcW w:w="10060" w:type="dxa"/>
            <w:gridSpan w:val="2"/>
          </w:tcPr>
          <w:p w:rsidR="001458B7" w:rsidRPr="00E518B3" w:rsidRDefault="001458B7" w:rsidP="00771ACC">
            <w:pPr>
              <w:jc w:val="both"/>
              <w:rPr>
                <w:rFonts w:ascii="Times New Roman" w:hAnsi="Times New Roman" w:cs="Times New Roman"/>
              </w:rPr>
            </w:pPr>
            <w:r w:rsidRPr="00E518B3">
              <w:rPr>
                <w:rFonts w:ascii="Times New Roman" w:hAnsi="Times New Roman" w:cs="Times New Roman"/>
              </w:rPr>
              <w:t>Со всеми актуальными редакциями внутренних документов Управляющего, на которые дана ссылка в Договоре доверительного управления, получатель финансовой услуги может ознакомиться на официальном сайте Управляющего, в офисах Управляющего либо в офисах уполномоченного Поверенного управляющего (Агента).</w:t>
            </w:r>
          </w:p>
        </w:tc>
      </w:tr>
    </w:tbl>
    <w:p w:rsidR="00B60E20" w:rsidRDefault="00B60E20"/>
    <w:sectPr w:rsidR="00B60E20" w:rsidSect="001458B7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E2308"/>
    <w:multiLevelType w:val="hybridMultilevel"/>
    <w:tmpl w:val="9004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B7"/>
    <w:rsid w:val="001458B7"/>
    <w:rsid w:val="003E00C3"/>
    <w:rsid w:val="00580203"/>
    <w:rsid w:val="00B60E20"/>
    <w:rsid w:val="00DE5A6C"/>
    <w:rsid w:val="00F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7E3DA"/>
  <w15:chartTrackingRefBased/>
  <w15:docId w15:val="{DB496151-23AF-4705-917F-0BF5F7A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Пункт"/>
    <w:basedOn w:val="a"/>
    <w:link w:val="a4"/>
    <w:uiPriority w:val="34"/>
    <w:qFormat/>
    <w:rsid w:val="001458B7"/>
    <w:pPr>
      <w:ind w:left="720"/>
      <w:contextualSpacing/>
    </w:pPr>
  </w:style>
  <w:style w:type="character" w:customStyle="1" w:styleId="a4">
    <w:name w:val="Абзац списка Знак"/>
    <w:aliases w:val="Bullet_IRAO Знак,Мой Список Знак,Пункт Знак"/>
    <w:link w:val="a3"/>
    <w:uiPriority w:val="34"/>
    <w:locked/>
    <w:rsid w:val="001458B7"/>
  </w:style>
  <w:style w:type="paragraph" w:styleId="a5">
    <w:name w:val="annotation text"/>
    <w:basedOn w:val="a"/>
    <w:link w:val="a6"/>
    <w:uiPriority w:val="99"/>
    <w:unhideWhenUsed/>
    <w:rsid w:val="001458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458B7"/>
    <w:rPr>
      <w:sz w:val="20"/>
      <w:szCs w:val="20"/>
    </w:rPr>
  </w:style>
  <w:style w:type="table" w:styleId="a7">
    <w:name w:val="Table Grid"/>
    <w:basedOn w:val="a1"/>
    <w:uiPriority w:val="59"/>
    <w:rsid w:val="0014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458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/" TargetMode="External"/><Relationship Id="rId13" Type="http://schemas.openxmlformats.org/officeDocument/2006/relationships/hyperlink" Target="https://tkbip.ru/disclosure-of-information/documents-on-management-of-securi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bip.ru/products/" TargetMode="External"/><Relationship Id="rId12" Type="http://schemas.openxmlformats.org/officeDocument/2006/relationships/hyperlink" Target="%20https://www.cbr.ru/Reception/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kbip.ru" TargetMode="External"/><Relationship Id="rId11" Type="http://schemas.openxmlformats.org/officeDocument/2006/relationships/hyperlink" Target="https://naufor.ru/" TargetMode="External"/><Relationship Id="rId5" Type="http://schemas.openxmlformats.org/officeDocument/2006/relationships/hyperlink" Target="mailto:info@tkbip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tkbi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" TargetMode="External"/><Relationship Id="rId14" Type="http://schemas.openxmlformats.org/officeDocument/2006/relationships/hyperlink" Target="https://tkbip.ru/disclosure-of-information/conflict-of-interest-info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Рыбалко</dc:creator>
  <cp:keywords/>
  <dc:description/>
  <cp:lastModifiedBy>Александр Ячный</cp:lastModifiedBy>
  <cp:revision>2</cp:revision>
  <dcterms:created xsi:type="dcterms:W3CDTF">2024-07-08T13:53:00Z</dcterms:created>
  <dcterms:modified xsi:type="dcterms:W3CDTF">2025-11-14T14:08:00Z</dcterms:modified>
</cp:coreProperties>
</file>